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013F37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6B13F7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6B13F7" w:rsidRPr="007F3B9C" w:rsidRDefault="006B13F7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6B13F7" w:rsidRPr="007F3B9C" w:rsidRDefault="006B13F7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Dentons Canada LLP</w:t>
            </w:r>
          </w:p>
        </w:tc>
      </w:tr>
    </w:tbl>
    <w:p w:rsidR="006B13F7" w:rsidRPr="007F3B9C" w:rsidRDefault="006B13F7" w:rsidP="006B13F7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6B13F7" w:rsidRPr="007F3B9C" w:rsidRDefault="006B13F7" w:rsidP="006B13F7">
      <w:pPr>
        <w:tabs>
          <w:tab w:val="left" w:pos="0"/>
          <w:tab w:val="left" w:pos="45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is </w:t>
      </w:r>
      <w:proofErr w:type="spellStart"/>
      <w:r w:rsidRPr="007F3B9C">
        <w:rPr>
          <w:rFonts w:ascii="Calibri Light" w:hAnsi="Calibri Light"/>
          <w:sz w:val="22"/>
        </w:rPr>
        <w:t>Dentons</w:t>
      </w:r>
      <w:proofErr w:type="spellEnd"/>
      <w:r w:rsidRPr="007F3B9C">
        <w:rPr>
          <w:rFonts w:ascii="Calibri Light" w:hAnsi="Calibri Light"/>
          <w:sz w:val="22"/>
        </w:rPr>
        <w:t xml:space="preserve"> Canada LLP with William S. Connauton and William S. Connauton Professional Corporation being added as additional Named Insureds.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Fraser &amp; Beatty merged with </w:t>
      </w:r>
      <w:proofErr w:type="spellStart"/>
      <w:r w:rsidRPr="007F3B9C">
        <w:rPr>
          <w:rFonts w:ascii="Calibri Light" w:hAnsi="Calibri Light"/>
          <w:spacing w:val="-2"/>
          <w:sz w:val="22"/>
        </w:rPr>
        <w:t>Mawhinney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Kellough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on </w:t>
      </w:r>
      <w:smartTag w:uri="urn:schemas-microsoft-com:office:smarttags" w:element="date">
        <w:smartTagPr>
          <w:attr w:name="Year" w:val="1990"/>
          <w:attr w:name="Day" w:val="1"/>
          <w:attr w:name="Month" w:val="4"/>
        </w:smartTagPr>
        <w:r w:rsidRPr="007F3B9C">
          <w:rPr>
            <w:rFonts w:ascii="Calibri Light" w:hAnsi="Calibri Light"/>
            <w:spacing w:val="-2"/>
            <w:sz w:val="22"/>
          </w:rPr>
          <w:t>April 1, 1990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Fraser &amp; Beatty.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1998"/>
          <w:attr w:name="Day" w:val="19"/>
          <w:attr w:name="Month" w:val="10"/>
        </w:smartTagPr>
        <w:r w:rsidRPr="007F3B9C">
          <w:rPr>
            <w:rFonts w:ascii="Calibri Light" w:hAnsi="Calibri Light"/>
            <w:spacing w:val="-2"/>
            <w:sz w:val="22"/>
          </w:rPr>
          <w:t>October 19, 1998</w:t>
        </w:r>
      </w:smartTag>
      <w:r w:rsidRPr="007F3B9C">
        <w:rPr>
          <w:rFonts w:ascii="Calibri Light" w:hAnsi="Calibri Light"/>
          <w:spacing w:val="-2"/>
          <w:sz w:val="22"/>
        </w:rPr>
        <w:t xml:space="preserve">, Fraser &amp; Beatty merged with Milner </w:t>
      </w:r>
      <w:proofErr w:type="spellStart"/>
      <w:r w:rsidRPr="007F3B9C">
        <w:rPr>
          <w:rFonts w:ascii="Calibri Light" w:hAnsi="Calibri Light"/>
          <w:spacing w:val="-2"/>
          <w:sz w:val="22"/>
        </w:rPr>
        <w:t>Fenerty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Edmonton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Fraser Milner.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2000"/>
          <w:attr w:name="Day" w:val="6"/>
          <w:attr w:name="Month" w:val="6"/>
        </w:smartTagPr>
        <w:r w:rsidRPr="007F3B9C">
          <w:rPr>
            <w:rFonts w:ascii="Calibri Light" w:hAnsi="Calibri Light"/>
            <w:spacing w:val="-2"/>
            <w:sz w:val="22"/>
          </w:rPr>
          <w:t>June 6,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, Fraser Milner merged with Byers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Montreal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Fraser Milner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>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2000"/>
          <w:attr w:name="Day" w:val="1"/>
          <w:attr w:name="Month" w:val="8"/>
        </w:smartTagPr>
        <w:r w:rsidRPr="007F3B9C">
          <w:rPr>
            <w:rFonts w:ascii="Calibri Light" w:hAnsi="Calibri Light"/>
            <w:spacing w:val="-2"/>
            <w:sz w:val="22"/>
          </w:rPr>
          <w:t>August 1,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, Fraser Milner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merged with Cruickshank </w:t>
      </w:r>
      <w:proofErr w:type="spellStart"/>
      <w:r w:rsidRPr="007F3B9C">
        <w:rPr>
          <w:rFonts w:ascii="Calibri Light" w:hAnsi="Calibri Light"/>
          <w:spacing w:val="-2"/>
          <w:sz w:val="22"/>
        </w:rPr>
        <w:t>Karvellas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Edmonton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maintained the same name.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Cruickshank </w:t>
      </w:r>
      <w:proofErr w:type="spellStart"/>
      <w:r w:rsidRPr="007F3B9C">
        <w:rPr>
          <w:rFonts w:ascii="Calibri Light" w:hAnsi="Calibri Light"/>
          <w:spacing w:val="-2"/>
          <w:sz w:val="22"/>
        </w:rPr>
        <w:t>Karvellas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has </w:t>
      </w:r>
      <w:proofErr w:type="gramStart"/>
      <w:r w:rsidRPr="007F3B9C">
        <w:rPr>
          <w:rFonts w:ascii="Calibri Light" w:hAnsi="Calibri Light"/>
          <w:spacing w:val="-2"/>
          <w:sz w:val="22"/>
        </w:rPr>
        <w:t>a number of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predecessor firms, namely, </w:t>
      </w:r>
      <w:r w:rsidRPr="007F3B9C">
        <w:rPr>
          <w:rFonts w:ascii="Calibri Light" w:hAnsi="Calibri Light"/>
          <w:sz w:val="22"/>
        </w:rPr>
        <w:t xml:space="preserve">Cruickshank, Phillips &amp; Hill; Cruickshank Phillips; Cruickshank, Phillips, </w:t>
      </w:r>
      <w:proofErr w:type="spellStart"/>
      <w:r w:rsidRPr="007F3B9C">
        <w:rPr>
          <w:rFonts w:ascii="Calibri Light" w:hAnsi="Calibri Light"/>
          <w:sz w:val="22"/>
        </w:rPr>
        <w:t>Karvellas</w:t>
      </w:r>
      <w:proofErr w:type="spellEnd"/>
      <w:r w:rsidRPr="007F3B9C">
        <w:rPr>
          <w:rFonts w:ascii="Calibri Light" w:hAnsi="Calibri Light"/>
          <w:sz w:val="22"/>
        </w:rPr>
        <w:t xml:space="preserve"> &amp; Connauton; Cruickshank, </w:t>
      </w:r>
      <w:proofErr w:type="spellStart"/>
      <w:r w:rsidRPr="007F3B9C">
        <w:rPr>
          <w:rFonts w:ascii="Calibri Light" w:hAnsi="Calibri Light"/>
          <w:sz w:val="22"/>
        </w:rPr>
        <w:t>Karvellas</w:t>
      </w:r>
      <w:proofErr w:type="spellEnd"/>
      <w:r w:rsidRPr="007F3B9C">
        <w:rPr>
          <w:rFonts w:ascii="Calibri Light" w:hAnsi="Calibri Light"/>
          <w:sz w:val="22"/>
        </w:rPr>
        <w:t xml:space="preserve"> &amp; Connauton and Cruickshank, </w:t>
      </w:r>
      <w:proofErr w:type="spellStart"/>
      <w:r w:rsidRPr="007F3B9C">
        <w:rPr>
          <w:rFonts w:ascii="Calibri Light" w:hAnsi="Calibri Light"/>
          <w:sz w:val="22"/>
        </w:rPr>
        <w:t>Karvellas</w:t>
      </w:r>
      <w:proofErr w:type="spellEnd"/>
      <w:r w:rsidRPr="007F3B9C">
        <w:rPr>
          <w:rFonts w:ascii="Calibri Light" w:hAnsi="Calibri Light"/>
          <w:sz w:val="22"/>
        </w:rPr>
        <w:t>, Layton &amp; Connauton.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Fraser Milner </w:t>
      </w:r>
      <w:proofErr w:type="spellStart"/>
      <w:r w:rsidRPr="007F3B9C">
        <w:rPr>
          <w:rFonts w:ascii="Calibri Light" w:hAnsi="Calibri Light"/>
          <w:sz w:val="22"/>
        </w:rPr>
        <w:t>Casgrain</w:t>
      </w:r>
      <w:proofErr w:type="spellEnd"/>
      <w:r w:rsidRPr="007F3B9C">
        <w:rPr>
          <w:rFonts w:ascii="Calibri Light" w:hAnsi="Calibri Light"/>
          <w:sz w:val="22"/>
        </w:rPr>
        <w:t xml:space="preserve"> changed its name to Fraser Milner </w:t>
      </w:r>
      <w:proofErr w:type="spellStart"/>
      <w:r w:rsidRPr="007F3B9C">
        <w:rPr>
          <w:rFonts w:ascii="Calibri Light" w:hAnsi="Calibri Light"/>
          <w:sz w:val="22"/>
        </w:rPr>
        <w:t>Casgrain</w:t>
      </w:r>
      <w:proofErr w:type="spellEnd"/>
      <w:r w:rsidRPr="007F3B9C">
        <w:rPr>
          <w:rFonts w:ascii="Calibri Light" w:hAnsi="Calibri Light"/>
          <w:sz w:val="22"/>
        </w:rPr>
        <w:t xml:space="preserve"> LLP on </w:t>
      </w:r>
      <w:smartTag w:uri="urn:schemas-microsoft-com:office:smarttags" w:element="date">
        <w:smartTagPr>
          <w:attr w:name="Year" w:val="2001"/>
          <w:attr w:name="Day" w:val="2"/>
          <w:attr w:name="Month" w:val="2"/>
        </w:smartTagPr>
        <w:r w:rsidRPr="007F3B9C">
          <w:rPr>
            <w:rFonts w:ascii="Calibri Light" w:hAnsi="Calibri Light"/>
            <w:sz w:val="22"/>
          </w:rPr>
          <w:t>February 2, 2001</w:t>
        </w:r>
      </w:smartTag>
      <w:r w:rsidRPr="007F3B9C">
        <w:rPr>
          <w:rFonts w:ascii="Calibri Light" w:hAnsi="Calibri Light"/>
          <w:sz w:val="22"/>
        </w:rPr>
        <w:t>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  <w:szCs w:val="22"/>
        </w:rPr>
      </w:pPr>
      <w:r w:rsidRPr="007F3B9C">
        <w:rPr>
          <w:rFonts w:ascii="Calibri Light" w:hAnsi="Calibri Light"/>
          <w:sz w:val="22"/>
          <w:szCs w:val="22"/>
        </w:rPr>
        <w:t xml:space="preserve">On March 28, 2013, Fraser Milner </w:t>
      </w:r>
      <w:proofErr w:type="spellStart"/>
      <w:r w:rsidRPr="007F3B9C">
        <w:rPr>
          <w:rFonts w:ascii="Calibri Light" w:hAnsi="Calibri Light"/>
          <w:sz w:val="22"/>
          <w:szCs w:val="22"/>
        </w:rPr>
        <w:t>Casgrain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LLP combined with </w:t>
      </w:r>
      <w:r w:rsidRPr="007F3B9C">
        <w:rPr>
          <w:rFonts w:ascii="Calibri Light" w:hAnsi="Calibri Light"/>
          <w:sz w:val="22"/>
          <w:szCs w:val="22"/>
          <w:lang w:val="en"/>
        </w:rPr>
        <w:t xml:space="preserve">international law firms </w:t>
      </w:r>
      <w:proofErr w:type="spellStart"/>
      <w:r w:rsidRPr="007F3B9C">
        <w:rPr>
          <w:rFonts w:ascii="Calibri Light" w:hAnsi="Calibri Light"/>
          <w:sz w:val="22"/>
          <w:szCs w:val="22"/>
          <w:lang w:val="en"/>
        </w:rPr>
        <w:t>Salans</w:t>
      </w:r>
      <w:proofErr w:type="spellEnd"/>
      <w:r w:rsidRPr="007F3B9C">
        <w:rPr>
          <w:rFonts w:ascii="Calibri Light" w:hAnsi="Calibri Light"/>
          <w:sz w:val="22"/>
          <w:szCs w:val="22"/>
          <w:lang w:val="en"/>
        </w:rPr>
        <w:t xml:space="preserve"> LLP and SNR Denton to form the global firm </w:t>
      </w:r>
      <w:proofErr w:type="spellStart"/>
      <w:r w:rsidRPr="007F3B9C">
        <w:rPr>
          <w:rFonts w:ascii="Calibri Light" w:hAnsi="Calibri Light"/>
          <w:sz w:val="22"/>
          <w:szCs w:val="22"/>
          <w:lang w:val="en"/>
        </w:rPr>
        <w:t>Dentons</w:t>
      </w:r>
      <w:proofErr w:type="spellEnd"/>
      <w:r w:rsidRPr="007F3B9C">
        <w:rPr>
          <w:rFonts w:ascii="Calibri Light" w:hAnsi="Calibri Light"/>
          <w:sz w:val="22"/>
          <w:szCs w:val="22"/>
          <w:lang w:val="en"/>
        </w:rPr>
        <w:t xml:space="preserve">.  </w:t>
      </w:r>
      <w:r w:rsidRPr="007F3B9C">
        <w:rPr>
          <w:rFonts w:ascii="Calibri Light" w:hAnsi="Calibri Light"/>
          <w:spacing w:val="-2"/>
          <w:sz w:val="22"/>
          <w:szCs w:val="22"/>
        </w:rPr>
        <w:t xml:space="preserve">Fraser Milner </w:t>
      </w:r>
      <w:proofErr w:type="spellStart"/>
      <w:r w:rsidRPr="007F3B9C">
        <w:rPr>
          <w:rFonts w:ascii="Calibri Light" w:hAnsi="Calibri Light"/>
          <w:spacing w:val="-2"/>
          <w:sz w:val="22"/>
          <w:szCs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  <w:szCs w:val="22"/>
        </w:rPr>
        <w:t xml:space="preserve"> LLP changed its name to </w:t>
      </w:r>
      <w:proofErr w:type="spellStart"/>
      <w:r w:rsidRPr="007F3B9C">
        <w:rPr>
          <w:rFonts w:ascii="Calibri Light" w:hAnsi="Calibri Light"/>
          <w:spacing w:val="-2"/>
          <w:sz w:val="22"/>
          <w:szCs w:val="22"/>
        </w:rPr>
        <w:t>Dentons</w:t>
      </w:r>
      <w:proofErr w:type="spellEnd"/>
      <w:r w:rsidRPr="007F3B9C">
        <w:rPr>
          <w:rFonts w:ascii="Calibri Light" w:hAnsi="Calibri Light"/>
          <w:spacing w:val="-2"/>
          <w:sz w:val="22"/>
          <w:szCs w:val="22"/>
        </w:rPr>
        <w:t xml:space="preserve"> Canada LLP effective the same date.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Style w:val="shorttext"/>
          <w:rFonts w:ascii="Calibri Light" w:hAnsi="Calibri Light"/>
          <w:spacing w:val="-2"/>
          <w:sz w:val="22"/>
          <w:szCs w:val="22"/>
        </w:rPr>
      </w:pPr>
      <w:r w:rsidRPr="007F3B9C">
        <w:rPr>
          <w:rFonts w:ascii="Calibri Light" w:hAnsi="Calibri Light"/>
          <w:spacing w:val="-2"/>
          <w:sz w:val="22"/>
          <w:szCs w:val="22"/>
        </w:rPr>
        <w:t xml:space="preserve">On January 27, 2015, </w:t>
      </w:r>
      <w:proofErr w:type="spellStart"/>
      <w:r w:rsidRPr="007F3B9C">
        <w:rPr>
          <w:rFonts w:ascii="Calibri Light" w:hAnsi="Calibri Light"/>
          <w:spacing w:val="-2"/>
          <w:sz w:val="22"/>
          <w:szCs w:val="22"/>
        </w:rPr>
        <w:t>Dentons</w:t>
      </w:r>
      <w:proofErr w:type="spellEnd"/>
      <w:r w:rsidRPr="007F3B9C">
        <w:rPr>
          <w:rFonts w:ascii="Calibri Light" w:hAnsi="Calibri Light"/>
          <w:spacing w:val="-2"/>
          <w:sz w:val="22"/>
          <w:szCs w:val="22"/>
        </w:rPr>
        <w:t xml:space="preserve"> global firm announced that it would be combining with </w:t>
      </w:r>
      <w:r w:rsidRPr="0002744A">
        <w:rPr>
          <w:rStyle w:val="shorttext"/>
          <w:rFonts w:ascii="MS Gothic" w:eastAsia="MS Gothic" w:hAnsi="MS Gothic" w:cs="MS Gothic" w:hint="eastAsia"/>
          <w:color w:val="222222"/>
          <w:sz w:val="22"/>
          <w:lang w:eastAsia="zh-TW"/>
        </w:rPr>
        <w:t>大成</w:t>
      </w:r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(pronounced “da CHUNG”).</w:t>
      </w:r>
    </w:p>
    <w:p w:rsidR="006B13F7" w:rsidRPr="00F73923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Style w:val="shorttext"/>
          <w:rFonts w:ascii="Calibri Light" w:hAnsi="Calibri Light"/>
          <w:spacing w:val="-2"/>
          <w:sz w:val="22"/>
          <w:szCs w:val="22"/>
        </w:rPr>
      </w:pPr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On April 8, 2015, </w:t>
      </w:r>
      <w:proofErr w:type="spellStart"/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US LLP announced that it would merge with McKenna Long &amp; Aldridge LLP, continuing to practice under the name </w:t>
      </w:r>
      <w:proofErr w:type="spellStart"/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 w:rsidRPr="007F3B9C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US LLP.</w:t>
      </w:r>
    </w:p>
    <w:p w:rsidR="006B13F7" w:rsidRPr="00F73923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Style w:val="shorttext"/>
          <w:rFonts w:ascii="Calibri Light" w:hAnsi="Calibri Light"/>
          <w:spacing w:val="-2"/>
          <w:sz w:val="22"/>
          <w:szCs w:val="22"/>
        </w:rPr>
      </w:pPr>
      <w:r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On April 25, 2016, </w:t>
      </w:r>
      <w:proofErr w:type="spellStart"/>
      <w:r>
        <w:rPr>
          <w:rStyle w:val="shorttext"/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global firm announced that it would be combining with </w:t>
      </w:r>
      <w:proofErr w:type="spellStart"/>
      <w:r>
        <w:rPr>
          <w:rStyle w:val="shorttext"/>
          <w:rFonts w:ascii="Calibri Light" w:hAnsi="Calibri Light"/>
          <w:color w:val="222222"/>
          <w:sz w:val="22"/>
          <w:lang w:eastAsia="zh-TW"/>
        </w:rPr>
        <w:t>Rodyk</w:t>
      </w:r>
      <w:proofErr w:type="spellEnd"/>
      <w:r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&amp; Davidson LLP.</w:t>
      </w:r>
    </w:p>
    <w:p w:rsidR="006B13F7" w:rsidRPr="00C616A3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  <w:szCs w:val="22"/>
        </w:rPr>
      </w:pPr>
      <w:bookmarkStart w:id="0" w:name="_GoBack"/>
      <w:bookmarkEnd w:id="0"/>
      <w:r w:rsidRPr="00C616A3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It is anticipated that between April 26, 2016 and June 30, 2016, </w:t>
      </w:r>
      <w:proofErr w:type="spellStart"/>
      <w:r w:rsidRPr="00C616A3">
        <w:rPr>
          <w:rStyle w:val="shorttext"/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 w:rsidRPr="00C616A3">
        <w:rPr>
          <w:rStyle w:val="shorttext"/>
          <w:rFonts w:ascii="Calibri Light" w:hAnsi="Calibri Light"/>
          <w:color w:val="222222"/>
          <w:sz w:val="22"/>
          <w:lang w:eastAsia="zh-TW"/>
        </w:rPr>
        <w:t xml:space="preserve"> global firm may announce further firms it will be combining with.  Full details will be provided if those combinations proceed.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has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Toronto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Ottawa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Edmonton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6B13F7" w:rsidRPr="007F3B9C" w:rsidRDefault="006B13F7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The Firm used to have an office in 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z w:val="22"/>
            </w:rPr>
            <w:t>New York City</w:t>
          </w:r>
        </w:smartTag>
      </w:smartTag>
      <w:r w:rsidRPr="007F3B9C">
        <w:rPr>
          <w:rFonts w:ascii="Calibri Light" w:hAnsi="Calibri Light"/>
          <w:sz w:val="22"/>
        </w:rPr>
        <w:t xml:space="preserve"> which was closed on April 1, 2009.</w:t>
      </w:r>
    </w:p>
    <w:p w:rsidR="006B13F7" w:rsidRPr="007F3B9C" w:rsidRDefault="00046D58" w:rsidP="006B13F7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>
        <w:rPr>
          <w:rFonts w:ascii="Calibri Light" w:hAnsi="Calibri Light"/>
          <w:spacing w:val="-2"/>
          <w:sz w:val="22"/>
        </w:rPr>
        <w:t>The c</w:t>
      </w:r>
      <w:r w:rsidR="006B13F7" w:rsidRPr="007F3B9C">
        <w:rPr>
          <w:rFonts w:ascii="Calibri Light" w:hAnsi="Calibri Light"/>
          <w:spacing w:val="-2"/>
          <w:sz w:val="22"/>
        </w:rPr>
        <w:t xml:space="preserve">overage is also provided to the predecessor firms, namely,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Mawhinney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Kellough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, Fraser &amp; Beatty, Milner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Fenerty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, Byers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, Fraser Milner, Cruickshank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Karvellas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 and its predecessor firms, Fraser Milner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 and Fraser Milner </w:t>
      </w:r>
      <w:proofErr w:type="spellStart"/>
      <w:r w:rsidR="006B13F7"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="006B13F7" w:rsidRPr="007F3B9C">
        <w:rPr>
          <w:rFonts w:ascii="Calibri Light" w:hAnsi="Calibri Light"/>
          <w:spacing w:val="-2"/>
          <w:sz w:val="22"/>
        </w:rPr>
        <w:t xml:space="preserve"> LLP.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sectPr w:rsidR="002D3A9B" w:rsidRPr="007F3B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046D58"/>
    <w:rsid w:val="002D3A9B"/>
    <w:rsid w:val="00542DC9"/>
    <w:rsid w:val="006B13F7"/>
    <w:rsid w:val="00902C43"/>
    <w:rsid w:val="00A5740B"/>
    <w:rsid w:val="00C616A3"/>
    <w:rsid w:val="00C64F93"/>
    <w:rsid w:val="00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5</cp:revision>
  <dcterms:created xsi:type="dcterms:W3CDTF">2017-02-13T16:59:00Z</dcterms:created>
  <dcterms:modified xsi:type="dcterms:W3CDTF">2017-02-23T17:02:00Z</dcterms:modified>
</cp:coreProperties>
</file>